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both"/>
        <w:textAlignment w:val="auto"/>
        <w:rPr>
          <w:rFonts w:hint="eastAsia" w:ascii="思源宋体 CN Light" w:hAnsi="思源宋体 CN Light" w:eastAsia="思源宋体 CN Light" w:cs="思源宋体 CN Light"/>
        </w:rPr>
      </w:pPr>
    </w:p>
    <w:p/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/>
    <w:p>
      <w:pPr>
        <w:jc w:val="center"/>
        <w:rPr>
          <w:rFonts w:hint="eastAsia"/>
          <w:b/>
          <w:bCs/>
          <w:sz w:val="48"/>
          <w:szCs w:val="48"/>
          <w:lang w:val="en-US" w:eastAsia="zh-CN"/>
        </w:rPr>
      </w:pPr>
    </w:p>
    <w:p>
      <w:pPr>
        <w:jc w:val="center"/>
        <w:rPr>
          <w:rFonts w:hint="eastAsia"/>
          <w:b/>
          <w:bCs/>
          <w:sz w:val="48"/>
          <w:szCs w:val="48"/>
          <w:lang w:val="en-US" w:eastAsia="zh-CN"/>
        </w:rPr>
      </w:pPr>
    </w:p>
    <w:p>
      <w:pPr>
        <w:jc w:val="center"/>
        <w:rPr>
          <w:rFonts w:hint="eastAsia"/>
          <w:b/>
          <w:bCs/>
          <w:sz w:val="48"/>
          <w:szCs w:val="48"/>
          <w:lang w:val="en-US" w:eastAsia="zh-CN"/>
        </w:rPr>
      </w:pPr>
    </w:p>
    <w:p>
      <w:pPr>
        <w:jc w:val="center"/>
        <w:rPr>
          <w:rFonts w:hint="eastAsia"/>
          <w:b/>
          <w:bCs/>
          <w:sz w:val="48"/>
          <w:szCs w:val="48"/>
          <w:lang w:val="en-US" w:eastAsia="zh-CN"/>
        </w:rPr>
      </w:pPr>
    </w:p>
    <w:p>
      <w:pPr>
        <w:jc w:val="center"/>
        <w:rPr>
          <w:rFonts w:hint="eastAsia"/>
          <w:b/>
          <w:bCs/>
          <w:sz w:val="48"/>
          <w:szCs w:val="48"/>
          <w:lang w:val="en-US" w:eastAsia="zh-CN"/>
        </w:rPr>
      </w:pPr>
      <w:bookmarkStart w:id="8" w:name="_GoBack"/>
      <w:bookmarkEnd w:id="8"/>
      <w:r>
        <w:rPr>
          <w:rFonts w:hint="eastAsia"/>
          <w:b/>
          <w:bCs/>
          <w:sz w:val="48"/>
          <w:szCs w:val="48"/>
          <w:lang w:val="en-US" w:eastAsia="zh-CN"/>
        </w:rPr>
        <w:t>南昌不见面询标系统-评委端</w:t>
      </w:r>
    </w:p>
    <w:p>
      <w:pPr>
        <w:pStyle w:val="2"/>
        <w:rPr>
          <w:rFonts w:hint="default"/>
          <w:lang w:val="en-US" w:eastAsia="zh-CN"/>
        </w:rPr>
      </w:pPr>
    </w:p>
    <w:p>
      <w:pPr>
        <w:jc w:val="center"/>
        <w:rPr>
          <w:rFonts w:hint="eastAsia"/>
          <w:b/>
          <w:bCs/>
          <w:sz w:val="48"/>
          <w:szCs w:val="48"/>
          <w:lang w:val="en-US" w:eastAsia="zh-CN"/>
        </w:rPr>
      </w:pPr>
      <w:r>
        <w:rPr>
          <w:rFonts w:hint="eastAsia"/>
          <w:b/>
          <w:bCs/>
          <w:sz w:val="48"/>
          <w:szCs w:val="48"/>
          <w:lang w:val="en-US" w:eastAsia="zh-CN"/>
        </w:rPr>
        <w:t>操作手册</w:t>
      </w:r>
    </w:p>
    <w:p>
      <w:pPr>
        <w:pStyle w:val="2"/>
        <w:rPr>
          <w:rFonts w:hint="eastAsia"/>
          <w:b/>
          <w:bCs/>
          <w:sz w:val="48"/>
          <w:szCs w:val="48"/>
          <w:lang w:val="en-US" w:eastAsia="zh-CN"/>
        </w:rPr>
      </w:pPr>
    </w:p>
    <w:p>
      <w:pPr>
        <w:pStyle w:val="2"/>
        <w:rPr>
          <w:rFonts w:hint="eastAsia"/>
          <w:b/>
          <w:bCs/>
          <w:sz w:val="48"/>
          <w:szCs w:val="48"/>
          <w:lang w:val="en-US" w:eastAsia="zh-CN"/>
        </w:rPr>
      </w:pPr>
    </w:p>
    <w:p>
      <w:pPr>
        <w:pStyle w:val="2"/>
        <w:rPr>
          <w:rFonts w:hint="eastAsia"/>
          <w:b/>
          <w:bCs/>
          <w:sz w:val="48"/>
          <w:szCs w:val="48"/>
          <w:lang w:val="en-US" w:eastAsia="zh-CN"/>
        </w:rPr>
      </w:pPr>
    </w:p>
    <w:p>
      <w:pPr>
        <w:pStyle w:val="2"/>
        <w:rPr>
          <w:rFonts w:hint="eastAsia"/>
          <w:b/>
          <w:bCs/>
          <w:sz w:val="48"/>
          <w:szCs w:val="48"/>
          <w:lang w:val="en-US" w:eastAsia="zh-CN"/>
        </w:rPr>
      </w:pPr>
    </w:p>
    <w:p>
      <w:pPr>
        <w:pStyle w:val="2"/>
        <w:rPr>
          <w:rFonts w:hint="eastAsia"/>
          <w:b/>
          <w:bCs/>
          <w:sz w:val="48"/>
          <w:szCs w:val="48"/>
          <w:lang w:val="en-US" w:eastAsia="zh-CN"/>
        </w:rPr>
      </w:pPr>
    </w:p>
    <w:p>
      <w:pPr>
        <w:pStyle w:val="2"/>
        <w:rPr>
          <w:rFonts w:hint="eastAsia"/>
          <w:b/>
          <w:bCs/>
          <w:sz w:val="48"/>
          <w:szCs w:val="48"/>
          <w:lang w:val="en-US" w:eastAsia="zh-CN"/>
        </w:rPr>
      </w:pPr>
    </w:p>
    <w:p>
      <w:pPr>
        <w:pStyle w:val="2"/>
        <w:rPr>
          <w:rFonts w:hint="eastAsia"/>
          <w:b/>
          <w:bCs/>
          <w:sz w:val="48"/>
          <w:szCs w:val="48"/>
          <w:lang w:val="en-US" w:eastAsia="zh-CN"/>
        </w:rPr>
      </w:pPr>
    </w:p>
    <w:p>
      <w:pPr>
        <w:pStyle w:val="2"/>
        <w:rPr>
          <w:rFonts w:hint="eastAsia"/>
          <w:b/>
          <w:bCs/>
          <w:sz w:val="48"/>
          <w:szCs w:val="48"/>
          <w:lang w:val="en-US" w:eastAsia="zh-CN"/>
        </w:rPr>
      </w:pPr>
    </w:p>
    <w:p>
      <w:pPr>
        <w:pStyle w:val="2"/>
        <w:rPr>
          <w:rFonts w:hint="eastAsia"/>
          <w:b/>
          <w:bCs/>
          <w:sz w:val="48"/>
          <w:szCs w:val="48"/>
          <w:lang w:val="en-US" w:eastAsia="zh-CN"/>
        </w:rPr>
      </w:pPr>
    </w:p>
    <w:p>
      <w:pPr>
        <w:pStyle w:val="2"/>
        <w:rPr>
          <w:rFonts w:hint="eastAsia"/>
          <w:b/>
          <w:bCs/>
          <w:sz w:val="48"/>
          <w:szCs w:val="48"/>
          <w:lang w:val="en-US" w:eastAsia="zh-CN"/>
        </w:rPr>
      </w:pPr>
    </w:p>
    <w:p>
      <w:pPr>
        <w:pStyle w:val="2"/>
        <w:rPr>
          <w:rFonts w:hint="eastAsia"/>
          <w:b/>
          <w:bCs/>
          <w:sz w:val="48"/>
          <w:szCs w:val="48"/>
          <w:lang w:val="en-US" w:eastAsia="zh-CN"/>
        </w:rPr>
      </w:pPr>
    </w:p>
    <w:p>
      <w:pPr>
        <w:pStyle w:val="2"/>
        <w:rPr>
          <w:rFonts w:hint="eastAsia"/>
          <w:b/>
          <w:bCs/>
          <w:sz w:val="48"/>
          <w:szCs w:val="48"/>
          <w:lang w:val="en-US" w:eastAsia="zh-CN"/>
        </w:rPr>
      </w:pPr>
    </w:p>
    <w:p>
      <w:pPr>
        <w:pStyle w:val="2"/>
        <w:rPr>
          <w:rFonts w:hint="eastAsia"/>
          <w:b/>
          <w:bCs/>
          <w:sz w:val="48"/>
          <w:szCs w:val="48"/>
          <w:lang w:val="en-US" w:eastAsia="zh-CN"/>
        </w:rPr>
      </w:pPr>
    </w:p>
    <w:p>
      <w:pPr>
        <w:spacing w:before="0" w:beforeLines="0" w:after="0" w:afterLines="0" w:line="240" w:lineRule="auto"/>
        <w:ind w:left="0" w:leftChars="0" w:right="0" w:rightChars="0" w:firstLine="0" w:firstLineChars="0"/>
        <w:jc w:val="center"/>
        <w:rPr>
          <w:rFonts w:ascii="宋体" w:hAnsi="宋体" w:eastAsia="宋体" w:cstheme="minorBidi"/>
          <w:kern w:val="2"/>
          <w:sz w:val="21"/>
          <w:szCs w:val="22"/>
          <w:lang w:val="en-US" w:eastAsia="zh-CN" w:bidi="ar-SA"/>
        </w:rPr>
      </w:pPr>
    </w:p>
    <w:sdt>
      <w:sdtPr>
        <w:rPr>
          <w:rFonts w:ascii="宋体" w:hAnsi="宋体" w:eastAsia="宋体" w:cstheme="minorBidi"/>
          <w:b/>
          <w:bCs/>
          <w:kern w:val="2"/>
          <w:sz w:val="21"/>
          <w:szCs w:val="22"/>
          <w:lang w:val="en-US" w:eastAsia="zh-CN" w:bidi="ar-SA"/>
        </w:rPr>
        <w:id w:val="147478523"/>
        <w15:color w:val="DBDBDB"/>
        <w:docPartObj>
          <w:docPartGallery w:val="Table of Contents"/>
          <w:docPartUnique/>
        </w:docPartObj>
      </w:sdtPr>
      <w:sdtEndPr>
        <w:rPr>
          <w:rFonts w:hint="eastAsia" w:ascii="Calibri" w:hAnsi="Calibri" w:cs="宋体" w:eastAsiaTheme="minorEastAsia"/>
          <w:b/>
          <w:bCs/>
          <w:color w:val="000000"/>
          <w:kern w:val="2"/>
          <w:sz w:val="21"/>
          <w:szCs w:val="48"/>
          <w:lang w:val="en-US" w:eastAsia="zh-CN" w:bidi="ar-SA"/>
        </w:rPr>
      </w:sdtEndPr>
      <w:sdtContent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  <w:rPr>
              <w:b/>
              <w:bCs/>
            </w:rPr>
          </w:pPr>
          <w:r>
            <w:rPr>
              <w:rFonts w:ascii="宋体" w:hAnsi="宋体" w:eastAsia="宋体"/>
              <w:b/>
              <w:bCs/>
              <w:sz w:val="21"/>
            </w:rPr>
            <w:t>目</w:t>
          </w:r>
          <w:r>
            <w:rPr>
              <w:rFonts w:hint="eastAsia" w:ascii="宋体" w:hAnsi="宋体" w:eastAsia="宋体"/>
              <w:b/>
              <w:bCs/>
              <w:sz w:val="21"/>
              <w:lang w:val="en-US" w:eastAsia="zh-CN"/>
            </w:rPr>
            <w:t xml:space="preserve">   </w:t>
          </w:r>
          <w:r>
            <w:rPr>
              <w:rFonts w:ascii="宋体" w:hAnsi="宋体" w:eastAsia="宋体"/>
              <w:b/>
              <w:bCs/>
              <w:sz w:val="21"/>
            </w:rPr>
            <w:t>录</w:t>
          </w:r>
        </w:p>
        <w:p>
          <w:pPr>
            <w:pStyle w:val="6"/>
            <w:tabs>
              <w:tab w:val="right" w:leader="dot" w:pos="8306"/>
            </w:tabs>
          </w:pPr>
          <w:r>
            <w:rPr>
              <w:rFonts w:hint="eastAsia"/>
              <w:b/>
              <w:bCs/>
              <w:sz w:val="48"/>
              <w:szCs w:val="48"/>
              <w:lang w:val="en-US" w:eastAsia="zh-CN"/>
            </w:rPr>
            <w:fldChar w:fldCharType="begin"/>
          </w:r>
          <w:r>
            <w:rPr>
              <w:rFonts w:hint="eastAsia"/>
              <w:b/>
              <w:bCs/>
              <w:sz w:val="48"/>
              <w:szCs w:val="48"/>
              <w:lang w:val="en-US" w:eastAsia="zh-CN"/>
            </w:rPr>
            <w:instrText xml:space="preserve">TOC \o "1-2" \h \u </w:instrText>
          </w:r>
          <w:r>
            <w:rPr>
              <w:rFonts w:hint="eastAsia"/>
              <w:b/>
              <w:bCs/>
              <w:sz w:val="48"/>
              <w:szCs w:val="48"/>
              <w:lang w:val="en-US" w:eastAsia="zh-CN"/>
            </w:rPr>
            <w:fldChar w:fldCharType="separate"/>
          </w:r>
          <w:r>
            <w:rPr>
              <w:rFonts w:hint="eastAsia"/>
              <w:bCs/>
              <w:szCs w:val="48"/>
              <w:lang w:val="en-US" w:eastAsia="zh-CN"/>
            </w:rPr>
            <w:fldChar w:fldCharType="begin"/>
          </w:r>
          <w:r>
            <w:rPr>
              <w:rFonts w:hint="eastAsia"/>
              <w:bCs/>
              <w:szCs w:val="48"/>
              <w:lang w:val="en-US" w:eastAsia="zh-CN"/>
            </w:rPr>
            <w:instrText xml:space="preserve"> HYPERLINK \l _Toc22342 </w:instrText>
          </w:r>
          <w:r>
            <w:rPr>
              <w:rFonts w:hint="eastAsia"/>
              <w:bCs/>
              <w:szCs w:val="48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一、不见面询标系统</w:t>
          </w:r>
          <w:r>
            <w:tab/>
          </w:r>
          <w:r>
            <w:fldChar w:fldCharType="begin"/>
          </w:r>
          <w:r>
            <w:instrText xml:space="preserve"> PAGEREF _Toc22342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hint="eastAsia"/>
              <w:bCs/>
              <w:szCs w:val="48"/>
              <w:lang w:val="en-US" w:eastAsia="zh-CN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rPr>
              <w:rFonts w:hint="eastAsia"/>
              <w:bCs/>
              <w:szCs w:val="48"/>
              <w:lang w:val="en-US" w:eastAsia="zh-CN"/>
            </w:rPr>
            <w:fldChar w:fldCharType="begin"/>
          </w:r>
          <w:r>
            <w:rPr>
              <w:rFonts w:hint="eastAsia"/>
              <w:bCs/>
              <w:szCs w:val="48"/>
              <w:lang w:val="en-US" w:eastAsia="zh-CN"/>
            </w:rPr>
            <w:instrText xml:space="preserve"> HYPERLINK \l _Toc17509 </w:instrText>
          </w:r>
          <w:r>
            <w:rPr>
              <w:rFonts w:hint="eastAsia"/>
              <w:bCs/>
              <w:szCs w:val="48"/>
              <w:lang w:val="en-US" w:eastAsia="zh-CN"/>
            </w:rPr>
            <w:fldChar w:fldCharType="separate"/>
          </w:r>
          <w:r>
            <w:rPr>
              <w:rFonts w:hint="eastAsia" w:ascii="Times New Roman" w:hAnsi="Times New Roman" w:cs="Cambria"/>
              <w:bCs/>
            </w:rPr>
            <w:t xml:space="preserve">1.1、 </w:t>
          </w:r>
          <w:r>
            <w:rPr>
              <w:rFonts w:hint="eastAsia"/>
            </w:rPr>
            <w:t>登录</w:t>
          </w:r>
          <w:r>
            <w:tab/>
          </w:r>
          <w:r>
            <w:fldChar w:fldCharType="begin"/>
          </w:r>
          <w:r>
            <w:instrText xml:space="preserve"> PAGEREF _Toc17509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hint="eastAsia"/>
              <w:bCs/>
              <w:szCs w:val="48"/>
              <w:lang w:val="en-US" w:eastAsia="zh-CN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rPr>
              <w:rFonts w:hint="eastAsia"/>
              <w:bCs/>
              <w:szCs w:val="48"/>
              <w:lang w:val="en-US" w:eastAsia="zh-CN"/>
            </w:rPr>
            <w:fldChar w:fldCharType="begin"/>
          </w:r>
          <w:r>
            <w:rPr>
              <w:rFonts w:hint="eastAsia"/>
              <w:bCs/>
              <w:szCs w:val="48"/>
              <w:lang w:val="en-US" w:eastAsia="zh-CN"/>
            </w:rPr>
            <w:instrText xml:space="preserve"> HYPERLINK \l _Toc31218 </w:instrText>
          </w:r>
          <w:r>
            <w:rPr>
              <w:rFonts w:hint="eastAsia"/>
              <w:bCs/>
              <w:szCs w:val="48"/>
              <w:lang w:val="en-US" w:eastAsia="zh-CN"/>
            </w:rPr>
            <w:fldChar w:fldCharType="separate"/>
          </w:r>
          <w:r>
            <w:rPr>
              <w:rFonts w:hint="eastAsia" w:ascii="Times New Roman" w:hAnsi="Times New Roman" w:cs="Cambria" w:eastAsiaTheme="minorEastAsia"/>
              <w:bCs/>
              <w:lang w:eastAsia="zh-CN"/>
            </w:rPr>
            <w:t xml:space="preserve">1.2、 </w:t>
          </w:r>
          <w:r>
            <w:rPr>
              <w:rFonts w:hint="eastAsia"/>
              <w:bCs/>
              <w:lang w:val="en-US" w:eastAsia="zh-CN"/>
            </w:rPr>
            <w:t>询标系统</w:t>
          </w:r>
          <w:r>
            <w:tab/>
          </w:r>
          <w:r>
            <w:fldChar w:fldCharType="begin"/>
          </w:r>
          <w:r>
            <w:instrText xml:space="preserve"> PAGEREF _Toc31218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hint="eastAsia"/>
              <w:bCs/>
              <w:szCs w:val="48"/>
              <w:lang w:val="en-US" w:eastAsia="zh-CN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rPr>
              <w:rFonts w:hint="eastAsia"/>
              <w:bCs/>
              <w:szCs w:val="48"/>
              <w:lang w:val="en-US" w:eastAsia="zh-CN"/>
            </w:rPr>
            <w:fldChar w:fldCharType="begin"/>
          </w:r>
          <w:r>
            <w:rPr>
              <w:rFonts w:hint="eastAsia"/>
              <w:bCs/>
              <w:szCs w:val="48"/>
              <w:lang w:val="en-US" w:eastAsia="zh-CN"/>
            </w:rPr>
            <w:instrText xml:space="preserve"> HYPERLINK \l _Toc12734 </w:instrText>
          </w:r>
          <w:r>
            <w:rPr>
              <w:rFonts w:hint="eastAsia"/>
              <w:bCs/>
              <w:szCs w:val="48"/>
              <w:lang w:val="en-US" w:eastAsia="zh-CN"/>
            </w:rPr>
            <w:fldChar w:fldCharType="separate"/>
          </w:r>
          <w:r>
            <w:rPr>
              <w:rFonts w:hint="eastAsia" w:ascii="Times New Roman" w:hAnsi="Times New Roman" w:cs="Cambria" w:eastAsiaTheme="minorEastAsia"/>
              <w:bCs/>
              <w:lang w:eastAsia="zh-CN"/>
            </w:rPr>
            <w:t xml:space="preserve">1.3、 </w:t>
          </w:r>
          <w:r>
            <w:rPr>
              <w:rFonts w:hint="eastAsia"/>
              <w:bCs/>
              <w:lang w:val="en-US" w:eastAsia="zh-CN"/>
            </w:rPr>
            <w:t>投标人列表</w:t>
          </w:r>
          <w:r>
            <w:tab/>
          </w:r>
          <w:r>
            <w:fldChar w:fldCharType="begin"/>
          </w:r>
          <w:r>
            <w:instrText xml:space="preserve"> PAGEREF _Toc12734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hint="eastAsia"/>
              <w:bCs/>
              <w:szCs w:val="48"/>
              <w:lang w:val="en-US" w:eastAsia="zh-CN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rPr>
              <w:rFonts w:hint="eastAsia"/>
              <w:bCs/>
              <w:szCs w:val="48"/>
              <w:lang w:val="en-US" w:eastAsia="zh-CN"/>
            </w:rPr>
            <w:fldChar w:fldCharType="begin"/>
          </w:r>
          <w:r>
            <w:rPr>
              <w:rFonts w:hint="eastAsia"/>
              <w:bCs/>
              <w:szCs w:val="48"/>
              <w:lang w:val="en-US" w:eastAsia="zh-CN"/>
            </w:rPr>
            <w:instrText xml:space="preserve"> HYPERLINK \l _Toc21362 </w:instrText>
          </w:r>
          <w:r>
            <w:rPr>
              <w:rFonts w:hint="eastAsia"/>
              <w:bCs/>
              <w:szCs w:val="48"/>
              <w:lang w:val="en-US" w:eastAsia="zh-CN"/>
            </w:rPr>
            <w:fldChar w:fldCharType="separate"/>
          </w:r>
          <w:r>
            <w:rPr>
              <w:rFonts w:hint="eastAsia" w:ascii="Times New Roman" w:hAnsi="Times New Roman" w:cs="Cambria"/>
              <w:bCs/>
            </w:rPr>
            <w:t xml:space="preserve">1.4、 </w:t>
          </w:r>
          <w:r>
            <w:rPr>
              <w:rFonts w:hint="eastAsia"/>
              <w:bCs/>
              <w:lang w:val="en-US" w:eastAsia="zh-CN"/>
            </w:rPr>
            <w:t>文字询标</w:t>
          </w:r>
          <w:r>
            <w:tab/>
          </w:r>
          <w:r>
            <w:fldChar w:fldCharType="begin"/>
          </w:r>
          <w:r>
            <w:instrText xml:space="preserve"> PAGEREF _Toc21362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rFonts w:hint="eastAsia"/>
              <w:bCs/>
              <w:szCs w:val="48"/>
              <w:lang w:val="en-US" w:eastAsia="zh-CN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rPr>
              <w:rFonts w:hint="eastAsia"/>
              <w:bCs/>
              <w:szCs w:val="48"/>
              <w:lang w:val="en-US" w:eastAsia="zh-CN"/>
            </w:rPr>
            <w:fldChar w:fldCharType="begin"/>
          </w:r>
          <w:r>
            <w:rPr>
              <w:rFonts w:hint="eastAsia"/>
              <w:bCs/>
              <w:szCs w:val="48"/>
              <w:lang w:val="en-US" w:eastAsia="zh-CN"/>
            </w:rPr>
            <w:instrText xml:space="preserve"> HYPERLINK \l _Toc23479 </w:instrText>
          </w:r>
          <w:r>
            <w:rPr>
              <w:rFonts w:hint="eastAsia"/>
              <w:bCs/>
              <w:szCs w:val="48"/>
              <w:lang w:val="en-US" w:eastAsia="zh-CN"/>
            </w:rPr>
            <w:fldChar w:fldCharType="separate"/>
          </w:r>
          <w:r>
            <w:rPr>
              <w:rFonts w:hint="eastAsia" w:ascii="Times New Roman" w:hAnsi="Times New Roman" w:cs="Cambria"/>
              <w:bCs/>
            </w:rPr>
            <w:t xml:space="preserve">1.5、 </w:t>
          </w:r>
          <w:r>
            <w:rPr>
              <w:rFonts w:hint="eastAsia"/>
              <w:bCs/>
              <w:lang w:val="en-US" w:eastAsia="zh-CN"/>
            </w:rPr>
            <w:t>结束询标</w:t>
          </w:r>
          <w:r>
            <w:tab/>
          </w:r>
          <w:r>
            <w:fldChar w:fldCharType="begin"/>
          </w:r>
          <w:r>
            <w:instrText xml:space="preserve"> PAGEREF _Toc23479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rPr>
              <w:rFonts w:hint="eastAsia"/>
              <w:bCs/>
              <w:szCs w:val="48"/>
              <w:lang w:val="en-US" w:eastAsia="zh-CN"/>
            </w:rPr>
            <w:fldChar w:fldCharType="end"/>
          </w:r>
        </w:p>
        <w:p>
          <w:pPr>
            <w:pStyle w:val="2"/>
            <w:rPr>
              <w:rFonts w:hint="eastAsia"/>
              <w:b/>
              <w:bCs/>
              <w:sz w:val="48"/>
              <w:szCs w:val="48"/>
              <w:lang w:val="en-US" w:eastAsia="zh-CN"/>
            </w:rPr>
          </w:pPr>
          <w:r>
            <w:rPr>
              <w:rFonts w:hint="eastAsia"/>
              <w:bCs/>
              <w:szCs w:val="48"/>
              <w:lang w:val="en-US" w:eastAsia="zh-CN"/>
            </w:rPr>
            <w:fldChar w:fldCharType="end"/>
          </w:r>
        </w:p>
      </w:sdtContent>
    </w:sdt>
    <w:p>
      <w:pPr>
        <w:pStyle w:val="2"/>
        <w:rPr>
          <w:rFonts w:hint="default"/>
          <w:b/>
          <w:bCs/>
          <w:sz w:val="48"/>
          <w:szCs w:val="48"/>
          <w:lang w:val="en-US" w:eastAsia="zh-CN"/>
        </w:rPr>
      </w:pPr>
    </w:p>
    <w:p>
      <w:pPr>
        <w:pStyle w:val="2"/>
        <w:rPr>
          <w:rFonts w:hint="default"/>
          <w:b/>
          <w:bCs/>
          <w:sz w:val="48"/>
          <w:szCs w:val="48"/>
          <w:lang w:val="en-US" w:eastAsia="zh-CN"/>
        </w:rPr>
      </w:pPr>
    </w:p>
    <w:p>
      <w:pPr>
        <w:pStyle w:val="2"/>
        <w:rPr>
          <w:rFonts w:hint="default"/>
          <w:b/>
          <w:bCs/>
          <w:sz w:val="48"/>
          <w:szCs w:val="48"/>
          <w:lang w:val="en-US" w:eastAsia="zh-CN"/>
        </w:rPr>
      </w:pPr>
    </w:p>
    <w:p>
      <w:pPr>
        <w:pStyle w:val="2"/>
        <w:rPr>
          <w:rFonts w:hint="default"/>
          <w:b/>
          <w:bCs/>
          <w:sz w:val="48"/>
          <w:szCs w:val="48"/>
          <w:lang w:val="en-US" w:eastAsia="zh-CN"/>
        </w:rPr>
      </w:pPr>
    </w:p>
    <w:p>
      <w:pPr>
        <w:pStyle w:val="2"/>
        <w:rPr>
          <w:rFonts w:hint="default"/>
          <w:b/>
          <w:bCs/>
          <w:sz w:val="48"/>
          <w:szCs w:val="48"/>
          <w:lang w:val="en-US" w:eastAsia="zh-CN"/>
        </w:rPr>
      </w:pPr>
    </w:p>
    <w:p>
      <w:pPr>
        <w:pStyle w:val="2"/>
        <w:rPr>
          <w:rFonts w:hint="default"/>
          <w:b/>
          <w:bCs/>
          <w:sz w:val="48"/>
          <w:szCs w:val="48"/>
          <w:lang w:val="en-US" w:eastAsia="zh-CN"/>
        </w:rPr>
      </w:pPr>
    </w:p>
    <w:p>
      <w:pPr>
        <w:pStyle w:val="2"/>
        <w:rPr>
          <w:rFonts w:hint="default"/>
          <w:b/>
          <w:bCs/>
          <w:sz w:val="48"/>
          <w:szCs w:val="48"/>
          <w:lang w:val="en-US" w:eastAsia="zh-CN"/>
        </w:rPr>
      </w:pPr>
    </w:p>
    <w:p>
      <w:pPr>
        <w:pStyle w:val="2"/>
        <w:rPr>
          <w:rFonts w:hint="default"/>
          <w:b/>
          <w:bCs/>
          <w:sz w:val="48"/>
          <w:szCs w:val="48"/>
          <w:lang w:val="en-US" w:eastAsia="zh-CN"/>
        </w:rPr>
      </w:pPr>
    </w:p>
    <w:p>
      <w:pPr>
        <w:pStyle w:val="2"/>
        <w:rPr>
          <w:rFonts w:hint="default"/>
          <w:b/>
          <w:bCs/>
          <w:sz w:val="48"/>
          <w:szCs w:val="48"/>
          <w:lang w:val="en-US" w:eastAsia="zh-CN"/>
        </w:rPr>
      </w:pPr>
    </w:p>
    <w:p>
      <w:pPr>
        <w:pStyle w:val="2"/>
        <w:rPr>
          <w:rFonts w:hint="default"/>
          <w:b/>
          <w:bCs/>
          <w:sz w:val="48"/>
          <w:szCs w:val="48"/>
          <w:lang w:val="en-US" w:eastAsia="zh-CN"/>
        </w:rPr>
      </w:pPr>
    </w:p>
    <w:p>
      <w:pPr>
        <w:pStyle w:val="2"/>
        <w:rPr>
          <w:rFonts w:hint="default"/>
          <w:b/>
          <w:bCs/>
          <w:sz w:val="48"/>
          <w:szCs w:val="48"/>
          <w:lang w:val="en-US" w:eastAsia="zh-CN"/>
        </w:rPr>
      </w:pPr>
    </w:p>
    <w:p>
      <w:pPr>
        <w:pStyle w:val="2"/>
        <w:rPr>
          <w:rFonts w:hint="default"/>
          <w:b/>
          <w:bCs/>
          <w:sz w:val="48"/>
          <w:szCs w:val="48"/>
          <w:lang w:val="en-US" w:eastAsia="zh-CN"/>
        </w:rPr>
      </w:pPr>
    </w:p>
    <w:p>
      <w:pPr>
        <w:pStyle w:val="2"/>
        <w:rPr>
          <w:rFonts w:hint="default"/>
          <w:b/>
          <w:bCs/>
          <w:sz w:val="48"/>
          <w:szCs w:val="48"/>
          <w:lang w:val="en-US" w:eastAsia="zh-CN"/>
        </w:rPr>
      </w:pPr>
    </w:p>
    <w:p>
      <w:pPr>
        <w:pStyle w:val="2"/>
        <w:rPr>
          <w:rFonts w:hint="default"/>
          <w:b/>
          <w:bCs/>
          <w:sz w:val="48"/>
          <w:szCs w:val="48"/>
          <w:lang w:val="en-US" w:eastAsia="zh-CN"/>
        </w:rPr>
      </w:pPr>
    </w:p>
    <w:p>
      <w:pPr>
        <w:pStyle w:val="2"/>
        <w:rPr>
          <w:rFonts w:hint="default"/>
          <w:b/>
          <w:bCs/>
          <w:sz w:val="48"/>
          <w:szCs w:val="48"/>
          <w:lang w:val="en-US" w:eastAsia="zh-CN"/>
        </w:rPr>
      </w:pPr>
    </w:p>
    <w:p>
      <w:pPr>
        <w:pStyle w:val="3"/>
        <w:bidi w:val="0"/>
        <w:rPr>
          <w:rFonts w:hint="default"/>
          <w:lang w:val="en-US" w:eastAsia="zh-CN"/>
        </w:rPr>
      </w:pPr>
      <w:bookmarkStart w:id="0" w:name="_Toc22342"/>
      <w:r>
        <w:rPr>
          <w:rFonts w:hint="eastAsia"/>
          <w:lang w:val="en-US" w:eastAsia="zh-CN"/>
        </w:rPr>
        <w:t>一、不见面询标系统</w:t>
      </w:r>
      <w:bookmarkEnd w:id="0"/>
    </w:p>
    <w:p>
      <w:pPr>
        <w:pStyle w:val="4"/>
        <w:bidi w:val="0"/>
        <w:rPr>
          <w:b/>
          <w:bCs/>
        </w:rPr>
      </w:pPr>
      <w:bookmarkStart w:id="1" w:name="_Toc17509"/>
      <w:bookmarkStart w:id="2" w:name="_Toc29921"/>
      <w:bookmarkStart w:id="3" w:name="_Toc10948"/>
      <w:r>
        <w:rPr>
          <w:rFonts w:hint="eastAsia"/>
        </w:rPr>
        <w:t>登录</w:t>
      </w:r>
      <w:bookmarkEnd w:id="1"/>
      <w:bookmarkEnd w:id="2"/>
      <w:bookmarkEnd w:id="3"/>
    </w:p>
    <w:p>
      <w:pPr>
        <w:bidi w:val="0"/>
      </w:pPr>
      <w:r>
        <w:rPr>
          <w:b/>
          <w:bCs/>
        </w:rPr>
        <w:t>功能说明：</w:t>
      </w:r>
      <w:r>
        <w:rPr>
          <w:rFonts w:hint="eastAsia"/>
          <w:lang w:val="en-US" w:eastAsia="zh-CN"/>
        </w:rPr>
        <w:t>评委</w:t>
      </w:r>
      <w:r>
        <w:rPr>
          <w:rFonts w:hint="eastAsia"/>
        </w:rPr>
        <w:t>登录</w:t>
      </w:r>
      <w:r>
        <w:rPr>
          <w:rFonts w:hint="eastAsia"/>
          <w:lang w:val="en-US" w:eastAsia="zh-CN"/>
        </w:rPr>
        <w:t>询标</w:t>
      </w:r>
      <w:r>
        <w:rPr>
          <w:rFonts w:hint="eastAsia"/>
        </w:rPr>
        <w:t>系统</w:t>
      </w:r>
      <w:r>
        <w:t>。</w:t>
      </w:r>
    </w:p>
    <w:p>
      <w:pPr>
        <w:bidi w:val="0"/>
      </w:pPr>
      <w:r>
        <w:rPr>
          <w:b/>
          <w:bCs/>
        </w:rPr>
        <w:t>前置条件：</w:t>
      </w:r>
      <w:r>
        <w:rPr>
          <w:rFonts w:hint="eastAsia"/>
          <w:lang w:val="en-US" w:eastAsia="zh-CN"/>
        </w:rPr>
        <w:t>代理确定评委后，评委登录各行业开评标系统。</w:t>
      </w:r>
    </w:p>
    <w:p>
      <w:pPr>
        <w:bidi w:val="0"/>
        <w:rPr>
          <w:b/>
          <w:bCs/>
        </w:rPr>
      </w:pPr>
      <w:r>
        <w:rPr>
          <w:b/>
          <w:bCs/>
        </w:rPr>
        <w:t>操作步骤：</w:t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1、专家进入江西省网上开评标系统，此手册以政府采购行业为例。点击右上角“视频会议”按钮，如下图：</w:t>
      </w:r>
    </w:p>
    <w:p>
      <w:pPr>
        <w:pStyle w:val="2"/>
        <w:ind w:left="0" w:leftChars="0" w:firstLine="0" w:firstLineChars="0"/>
        <w:rPr>
          <w:rFonts w:hint="default"/>
          <w:lang w:val="en-US" w:eastAsia="zh-CN"/>
        </w:rPr>
      </w:pPr>
    </w:p>
    <w:p>
      <w:r>
        <w:drawing>
          <wp:inline distT="0" distB="0" distL="114300" distR="114300">
            <wp:extent cx="4890135" cy="2628900"/>
            <wp:effectExtent l="0" t="0" r="1905" b="7620"/>
            <wp:docPr id="1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890135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4"/>
        <w:bidi w:val="0"/>
        <w:rPr>
          <w:rFonts w:hint="eastAsia" w:eastAsiaTheme="minorEastAsia"/>
          <w:b/>
          <w:bCs/>
          <w:lang w:eastAsia="zh-CN"/>
        </w:rPr>
      </w:pPr>
      <w:bookmarkStart w:id="4" w:name="_Toc31218"/>
      <w:r>
        <w:rPr>
          <w:rFonts w:hint="eastAsia"/>
          <w:b/>
          <w:bCs/>
          <w:lang w:val="en-US" w:eastAsia="zh-CN"/>
        </w:rPr>
        <w:t>询标系统</w:t>
      </w:r>
      <w:bookmarkEnd w:id="4"/>
    </w:p>
    <w:p>
      <w:pPr>
        <w:bidi w:val="0"/>
      </w:pPr>
      <w:r>
        <w:rPr>
          <w:b/>
          <w:bCs/>
        </w:rPr>
        <w:t>功能说明：</w:t>
      </w:r>
      <w:r>
        <w:rPr>
          <w:rFonts w:hint="eastAsia"/>
          <w:lang w:val="en-US" w:eastAsia="zh-CN"/>
        </w:rPr>
        <w:t>询标系统页面</w:t>
      </w:r>
      <w:r>
        <w:t>。</w:t>
      </w:r>
    </w:p>
    <w:p>
      <w:pPr>
        <w:bidi w:val="0"/>
      </w:pPr>
      <w:r>
        <w:rPr>
          <w:b/>
          <w:bCs/>
        </w:rPr>
        <w:t>前置条件：</w:t>
      </w:r>
      <w:r>
        <w:rPr>
          <w:rFonts w:hint="eastAsia"/>
          <w:lang w:val="en-US" w:eastAsia="zh-CN"/>
        </w:rPr>
        <w:t>评委选择项目，进入视频会议系统，已推荐组长。</w:t>
      </w:r>
    </w:p>
    <w:p>
      <w:pPr>
        <w:bidi w:val="0"/>
        <w:rPr>
          <w:b/>
          <w:bCs/>
        </w:rPr>
      </w:pPr>
      <w:r>
        <w:rPr>
          <w:b/>
          <w:bCs/>
        </w:rPr>
        <w:t>操作步骤：</w:t>
      </w:r>
    </w:p>
    <w:p>
      <w:pPr>
        <w:bidi w:val="0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1、点击视频会议按钮之后，会自动弹出“新点远程视频音频交流系统”评委端，进入之后，左下角是默认静音状态，如需音频交流，点击解除静音；关闭视频：可关闭头像显示；全场静音：组长权限，选择全场静音，所有人无法音频交流；屏幕分享：可将本电脑桌面共享其他评委观看；评委：显示评委列表；文字询标：发起文字询标；交流：交流区域可进行文字交流，如下图：</w:t>
      </w:r>
    </w:p>
    <w:p>
      <w:r>
        <w:drawing>
          <wp:inline distT="0" distB="0" distL="114300" distR="114300">
            <wp:extent cx="5266690" cy="2828290"/>
            <wp:effectExtent l="0" t="0" r="6350" b="6350"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2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bidi w:val="0"/>
        <w:rPr>
          <w:rFonts w:hint="eastAsia" w:eastAsiaTheme="minorEastAsia"/>
          <w:b/>
          <w:bCs/>
          <w:lang w:eastAsia="zh-CN"/>
        </w:rPr>
      </w:pPr>
      <w:bookmarkStart w:id="5" w:name="_Toc12734"/>
      <w:r>
        <w:rPr>
          <w:rFonts w:hint="eastAsia"/>
          <w:b/>
          <w:bCs/>
          <w:lang w:val="en-US" w:eastAsia="zh-CN"/>
        </w:rPr>
        <w:t>投标人列表</w:t>
      </w:r>
      <w:bookmarkEnd w:id="5"/>
    </w:p>
    <w:p>
      <w:pPr>
        <w:bidi w:val="0"/>
      </w:pPr>
      <w:r>
        <w:rPr>
          <w:b/>
          <w:bCs/>
        </w:rPr>
        <w:t>功能说明：</w:t>
      </w:r>
      <w:r>
        <w:rPr>
          <w:rFonts w:hint="eastAsia"/>
          <w:lang w:val="en-US" w:eastAsia="zh-CN"/>
        </w:rPr>
        <w:t>投标人列表</w:t>
      </w:r>
      <w:r>
        <w:t>。</w:t>
      </w:r>
    </w:p>
    <w:p>
      <w:pPr>
        <w:bidi w:val="0"/>
      </w:pPr>
      <w:r>
        <w:rPr>
          <w:b/>
          <w:bCs/>
        </w:rPr>
        <w:t>前置条件：</w:t>
      </w:r>
      <w:r>
        <w:rPr>
          <w:rFonts w:hint="eastAsia"/>
          <w:lang w:val="en-US" w:eastAsia="zh-CN"/>
        </w:rPr>
        <w:t>点击“开始询标”后，弹出投标人列表。</w:t>
      </w:r>
    </w:p>
    <w:p>
      <w:pPr>
        <w:rPr>
          <w:b/>
          <w:bCs/>
        </w:rPr>
      </w:pPr>
      <w:r>
        <w:rPr>
          <w:b/>
          <w:bCs/>
        </w:rPr>
        <w:t>操作步骤：</w:t>
      </w:r>
    </w:p>
    <w:p>
      <w:pPr>
        <w:numPr>
          <w:ilvl w:val="0"/>
          <w:numId w:val="2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评委可选择对应单位点击开始询标进行后续询标操作，如下图：</w:t>
      </w:r>
    </w:p>
    <w:p>
      <w:pPr>
        <w:pStyle w:val="2"/>
        <w:numPr>
          <w:ilvl w:val="0"/>
          <w:numId w:val="0"/>
        </w:numPr>
        <w:rPr>
          <w:rFonts w:hint="default"/>
          <w:lang w:val="en-US" w:eastAsia="zh-CN"/>
        </w:rPr>
      </w:pPr>
    </w:p>
    <w:p>
      <w:r>
        <w:drawing>
          <wp:inline distT="0" distB="0" distL="0" distR="0">
            <wp:extent cx="4023995" cy="2263775"/>
            <wp:effectExtent l="0" t="0" r="14605" b="698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023995" cy="226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</w:pPr>
    </w:p>
    <w:p>
      <w:pPr>
        <w:numPr>
          <w:ilvl w:val="0"/>
          <w:numId w:val="3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点击“开始询标”，选择要询的投标单位，点击“开始询标”按钮，弹出消息提示，选择“确认”，如下图：</w:t>
      </w:r>
    </w:p>
    <w:p>
      <w:r>
        <w:drawing>
          <wp:inline distT="0" distB="0" distL="0" distR="0">
            <wp:extent cx="5044440" cy="2837815"/>
            <wp:effectExtent l="0" t="0" r="0" b="1206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44440" cy="2837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numPr>
          <w:ilvl w:val="0"/>
          <w:numId w:val="4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投标人响应询标之后，评委端会出现投标人虚拟画面，进入系统默认静音，如需语音交流，点击左下角“解除静音”，即可语音交流，右下角交流区可与投标人进行文字交流，如下图：</w:t>
      </w:r>
    </w:p>
    <w:p>
      <w:pPr>
        <w:pStyle w:val="2"/>
        <w:numPr>
          <w:ilvl w:val="0"/>
          <w:numId w:val="0"/>
        </w:numPr>
      </w:pPr>
    </w:p>
    <w:p>
      <w:r>
        <w:drawing>
          <wp:inline distT="0" distB="0" distL="0" distR="0">
            <wp:extent cx="5031105" cy="2830195"/>
            <wp:effectExtent l="0" t="0" r="13335" b="444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31105" cy="2830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bidi w:val="0"/>
        <w:rPr>
          <w:b/>
          <w:bCs/>
        </w:rPr>
      </w:pPr>
      <w:bookmarkStart w:id="6" w:name="_Toc21362"/>
      <w:r>
        <w:rPr>
          <w:rFonts w:hint="eastAsia"/>
          <w:b/>
          <w:bCs/>
          <w:lang w:val="en-US" w:eastAsia="zh-CN"/>
        </w:rPr>
        <w:t>文字询标</w:t>
      </w:r>
      <w:bookmarkEnd w:id="6"/>
    </w:p>
    <w:p>
      <w:pPr>
        <w:bidi w:val="0"/>
      </w:pPr>
      <w:r>
        <w:rPr>
          <w:b/>
          <w:bCs/>
        </w:rPr>
        <w:t>功能说明：</w:t>
      </w:r>
      <w:r>
        <w:rPr>
          <w:rFonts w:hint="eastAsia"/>
          <w:lang w:val="en-US" w:eastAsia="zh-CN"/>
        </w:rPr>
        <w:t>评委对投标人进行文字询标，形成询标函</w:t>
      </w:r>
      <w:r>
        <w:t>。</w:t>
      </w:r>
    </w:p>
    <w:p>
      <w:pPr>
        <w:bidi w:val="0"/>
      </w:pPr>
      <w:r>
        <w:rPr>
          <w:b/>
          <w:bCs/>
        </w:rPr>
        <w:t>前置条件：</w:t>
      </w:r>
      <w:r>
        <w:rPr>
          <w:rFonts w:hint="eastAsia"/>
          <w:lang w:val="en-US" w:eastAsia="zh-CN"/>
        </w:rPr>
        <w:t>评委已选择对应投标单位，正在进行询标操作。</w:t>
      </w:r>
    </w:p>
    <w:p>
      <w:pPr>
        <w:rPr>
          <w:b/>
          <w:bCs/>
        </w:rPr>
      </w:pPr>
      <w:r>
        <w:rPr>
          <w:b/>
          <w:bCs/>
        </w:rPr>
        <w:t>操作步骤：</w:t>
      </w:r>
    </w:p>
    <w:p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1、评委组长点击文字询标，然后点击“新增询标”按钮，如下图：</w:t>
      </w:r>
    </w:p>
    <w:p/>
    <w:p>
      <w:r>
        <w:drawing>
          <wp:inline distT="0" distB="0" distL="0" distR="0">
            <wp:extent cx="5100320" cy="2868930"/>
            <wp:effectExtent l="0" t="0" r="5080" b="1143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00320" cy="2868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numPr>
          <w:ilvl w:val="0"/>
          <w:numId w:val="5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评委组长可在“02 文字询标内容”填写询标内容。</w:t>
      </w:r>
    </w:p>
    <w:p>
      <w:pPr>
        <w:pStyle w:val="2"/>
        <w:numPr>
          <w:ilvl w:val="0"/>
          <w:numId w:val="0"/>
        </w:numPr>
        <w:rPr>
          <w:rFonts w:hint="default"/>
          <w:lang w:val="en-US" w:eastAsia="zh-CN"/>
        </w:rPr>
      </w:pPr>
    </w:p>
    <w:p>
      <w:r>
        <w:drawing>
          <wp:inline distT="0" distB="0" distL="0" distR="0">
            <wp:extent cx="4958715" cy="2789555"/>
            <wp:effectExtent l="0" t="0" r="9525" b="1460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58715" cy="2789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numPr>
          <w:ilvl w:val="0"/>
          <w:numId w:val="6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投标人回复之后，评委端会收到文字询标答复提示框，点击“是”，可查看已回复的内容。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若投标人反馈已回复，但“是否回复”显示“未回复”，可同时按住“ctrl+F5”刷新该页面</w:t>
      </w:r>
      <w:r>
        <w:rPr>
          <w:rFonts w:hint="eastAsia"/>
          <w:color w:val="C00000"/>
          <w:lang w:val="en-US" w:eastAsia="zh-CN"/>
        </w:rPr>
        <w:t>，</w:t>
      </w:r>
      <w:r>
        <w:rPr>
          <w:rFonts w:hint="eastAsia"/>
          <w:lang w:val="en-US" w:eastAsia="zh-CN"/>
        </w:rPr>
        <w:t>如下图：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73040" cy="2844165"/>
            <wp:effectExtent l="0" t="0" r="0" b="5715"/>
            <wp:docPr id="1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84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left="0" w:leftChars="0" w:firstLine="0" w:firstLineChars="0"/>
      </w:pPr>
    </w:p>
    <w:p>
      <w:pPr>
        <w:pStyle w:val="2"/>
        <w:ind w:left="0" w:leftChars="0" w:firstLine="0" w:firstLine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73040" cy="2486660"/>
            <wp:effectExtent l="0" t="0" r="0" b="12700"/>
            <wp:docPr id="1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486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7"/>
        </w:numPr>
        <w:ind w:left="0" w:leftChars="0" w:firstLine="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点击查看图标，可查看回复内容，在“03 相关电子件”可以下载投标人回复文件，针对政府采购竞争性谈判、竞争性磋商项目，专家可下载供应商上传的盖章版或签字版询标记录文件，打印后进行签字。如下图：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55260" cy="2435860"/>
            <wp:effectExtent l="0" t="0" r="2540" b="254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55260" cy="243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bidi w:val="0"/>
        <w:rPr>
          <w:b/>
          <w:bCs/>
        </w:rPr>
      </w:pPr>
      <w:bookmarkStart w:id="7" w:name="_Toc23479"/>
      <w:r>
        <w:rPr>
          <w:rFonts w:hint="eastAsia"/>
          <w:b/>
          <w:bCs/>
          <w:lang w:val="en-US" w:eastAsia="zh-CN"/>
        </w:rPr>
        <w:t>结束询标</w:t>
      </w:r>
      <w:bookmarkEnd w:id="7"/>
    </w:p>
    <w:p>
      <w:pPr>
        <w:bidi w:val="0"/>
      </w:pPr>
      <w:r>
        <w:rPr>
          <w:b/>
          <w:bCs/>
        </w:rPr>
        <w:t>功能说明：</w:t>
      </w:r>
      <w:r>
        <w:rPr>
          <w:rFonts w:hint="eastAsia"/>
          <w:lang w:val="en-US" w:eastAsia="zh-CN"/>
        </w:rPr>
        <w:t>评委结束询标操作</w:t>
      </w:r>
      <w:r>
        <w:t>。</w:t>
      </w:r>
    </w:p>
    <w:p>
      <w:pPr>
        <w:bidi w:val="0"/>
      </w:pPr>
      <w:r>
        <w:rPr>
          <w:b/>
          <w:bCs/>
        </w:rPr>
        <w:t>前置条件：</w:t>
      </w:r>
      <w:r>
        <w:rPr>
          <w:rFonts w:hint="eastAsia"/>
          <w:lang w:val="en-US" w:eastAsia="zh-CN"/>
        </w:rPr>
        <w:t>评委相应询标工作已完成。</w:t>
      </w:r>
    </w:p>
    <w:p>
      <w:pPr>
        <w:rPr>
          <w:b/>
          <w:bCs/>
        </w:rPr>
      </w:pPr>
      <w:r>
        <w:rPr>
          <w:b/>
          <w:bCs/>
        </w:rPr>
        <w:t>操作步骤：</w:t>
      </w:r>
    </w:p>
    <w:p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1、若询标结束，点击结束询标，如下图：</w:t>
      </w:r>
    </w:p>
    <w:p>
      <w:r>
        <w:drawing>
          <wp:inline distT="0" distB="0" distL="0" distR="0">
            <wp:extent cx="5307330" cy="2985135"/>
            <wp:effectExtent l="0" t="0" r="11430" b="190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07330" cy="2985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numPr>
          <w:ilvl w:val="0"/>
          <w:numId w:val="8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选择对应单位，点击结束询标，如下图：</w:t>
      </w:r>
    </w:p>
    <w:p>
      <w:pPr>
        <w:pStyle w:val="2"/>
        <w:numPr>
          <w:ilvl w:val="0"/>
          <w:numId w:val="0"/>
        </w:numPr>
        <w:rPr>
          <w:rFonts w:hint="default"/>
          <w:lang w:val="en-US" w:eastAsia="zh-CN"/>
        </w:rPr>
      </w:pPr>
    </w:p>
    <w:p>
      <w:r>
        <w:drawing>
          <wp:inline distT="0" distB="0" distL="0" distR="0">
            <wp:extent cx="4822190" cy="2712720"/>
            <wp:effectExtent l="0" t="0" r="889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822190" cy="271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3、弹出提示“是否结束询标”，点击“是”，如下图：</w:t>
      </w:r>
    </w:p>
    <w:p/>
    <w:p>
      <w:r>
        <w:drawing>
          <wp:inline distT="0" distB="0" distL="0" distR="0">
            <wp:extent cx="5271135" cy="2965450"/>
            <wp:effectExtent l="0" t="0" r="1905" b="635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96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</w:pPr>
    </w:p>
    <w:p>
      <w:pPr>
        <w:pStyle w:val="2"/>
      </w:pPr>
    </w:p>
    <w:p/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modern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思源宋体 CN Light">
    <w:altName w:val="宋体"/>
    <w:panose1 w:val="02020300000000000000"/>
    <w:charset w:val="86"/>
    <w:family w:val="auto"/>
    <w:pitch w:val="default"/>
    <w:sig w:usb0="00000000" w:usb1="00000000" w:usb2="00000016" w:usb3="00000000" w:csb0="60060107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057EE03"/>
    <w:multiLevelType w:val="singleLevel"/>
    <w:tmpl w:val="A057EE03"/>
    <w:lvl w:ilvl="0" w:tentative="0">
      <w:start w:val="5"/>
      <w:numFmt w:val="decimal"/>
      <w:suff w:val="nothing"/>
      <w:lvlText w:val="%1、"/>
      <w:lvlJc w:val="left"/>
    </w:lvl>
  </w:abstractNum>
  <w:abstractNum w:abstractNumId="1">
    <w:nsid w:val="A84A89D3"/>
    <w:multiLevelType w:val="singleLevel"/>
    <w:tmpl w:val="A84A89D3"/>
    <w:lvl w:ilvl="0" w:tentative="0">
      <w:start w:val="2"/>
      <w:numFmt w:val="decimal"/>
      <w:suff w:val="nothing"/>
      <w:lvlText w:val="%1、"/>
      <w:lvlJc w:val="left"/>
    </w:lvl>
  </w:abstractNum>
  <w:abstractNum w:abstractNumId="2">
    <w:nsid w:val="D4F3128B"/>
    <w:multiLevelType w:val="singleLevel"/>
    <w:tmpl w:val="D4F3128B"/>
    <w:lvl w:ilvl="0" w:tentative="0">
      <w:start w:val="3"/>
      <w:numFmt w:val="decimal"/>
      <w:suff w:val="nothing"/>
      <w:lvlText w:val="%1、"/>
      <w:lvlJc w:val="left"/>
    </w:lvl>
  </w:abstractNum>
  <w:abstractNum w:abstractNumId="3">
    <w:nsid w:val="F34D0F19"/>
    <w:multiLevelType w:val="singleLevel"/>
    <w:tmpl w:val="F34D0F19"/>
    <w:lvl w:ilvl="0" w:tentative="0">
      <w:start w:val="2"/>
      <w:numFmt w:val="decimal"/>
      <w:suff w:val="nothing"/>
      <w:lvlText w:val="%1、"/>
      <w:lvlJc w:val="left"/>
    </w:lvl>
  </w:abstractNum>
  <w:abstractNum w:abstractNumId="4">
    <w:nsid w:val="0353CA8A"/>
    <w:multiLevelType w:val="multilevel"/>
    <w:tmpl w:val="0353CA8A"/>
    <w:lvl w:ilvl="0" w:tentative="0">
      <w:start w:val="1"/>
      <w:numFmt w:val="chineseCountingThousand"/>
      <w:suff w:val="nothing"/>
      <w:lvlText w:val="%1、"/>
      <w:lvlJc w:val="left"/>
      <w:pPr>
        <w:ind w:left="425" w:hanging="425"/>
      </w:pPr>
      <w:rPr>
        <w:rFonts w:hint="eastAsia"/>
      </w:rPr>
    </w:lvl>
    <w:lvl w:ilvl="1" w:tentative="0">
      <w:start w:val="1"/>
      <w:numFmt w:val="decimal"/>
      <w:pStyle w:val="4"/>
      <w:isLgl/>
      <w:suff w:val="nothing"/>
      <w:lvlText w:val="%1.%2、"/>
      <w:lvlJc w:val="left"/>
      <w:pPr>
        <w:ind w:left="567" w:hanging="567"/>
      </w:pPr>
      <w:rPr>
        <w:rFonts w:hint="eastAsia" w:ascii="Times New Roman" w:hAnsi="Times New Roman" w:cs="Cambria"/>
      </w:rPr>
    </w:lvl>
    <w:lvl w:ilvl="2" w:tentative="0">
      <w:start w:val="1"/>
      <w:numFmt w:val="decimal"/>
      <w:isLgl/>
      <w:suff w:val="nothing"/>
      <w:lvlText w:val="%1.%2.%3、"/>
      <w:lvlJc w:val="left"/>
      <w:pPr>
        <w:tabs>
          <w:tab w:val="left" w:pos="0"/>
        </w:tabs>
        <w:ind w:left="1211" w:hanging="1069"/>
      </w:pPr>
      <w:rPr>
        <w:rFonts w:hint="eastAsia" w:ascii="Times New Roman" w:hAnsi="Times New Roman" w:cs="Cambria"/>
        <w:b/>
        <w:bCs w:val="0"/>
        <w:i w:val="0"/>
        <w:iCs w:val="0"/>
        <w:caps w:val="0"/>
        <w:smallCaps w:val="0"/>
        <w:strike w:val="0"/>
        <w:dstrike w:val="0"/>
        <w:vanish w:val="0"/>
        <w:spacing w:val="0"/>
        <w:position w:val="0"/>
        <w:sz w:val="28"/>
        <w:u w:val="none"/>
        <w:vertAlign w:val="baseline"/>
      </w:rPr>
    </w:lvl>
    <w:lvl w:ilvl="3" w:tentative="0">
      <w:start w:val="1"/>
      <w:numFmt w:val="decimal"/>
      <w:isLgl/>
      <w:suff w:val="nothing"/>
      <w:lvlText w:val="%1.%2.%3.%4、"/>
      <w:lvlJc w:val="left"/>
      <w:pPr>
        <w:ind w:left="4111" w:hanging="851"/>
      </w:pPr>
      <w:rPr>
        <w:rFonts w:hint="eastAsia" w:ascii="Times New Roman" w:hAnsi="Times New Roman" w:eastAsia="宋体" w:cs="Cambria"/>
        <w:sz w:val="24"/>
        <w:szCs w:val="24"/>
      </w:rPr>
    </w:lvl>
    <w:lvl w:ilvl="4" w:tentative="0">
      <w:start w:val="1"/>
      <w:numFmt w:val="decimal"/>
      <w:isLgl/>
      <w:suff w:val="nothing"/>
      <w:lvlText w:val="%1.%2.%3.%4.%5、"/>
      <w:lvlJc w:val="left"/>
      <w:pPr>
        <w:ind w:left="992" w:hanging="992"/>
      </w:pPr>
      <w:rPr>
        <w:rFonts w:hint="eastAsia"/>
      </w:rPr>
    </w:lvl>
    <w:lvl w:ilvl="5" w:tentative="0">
      <w:start w:val="1"/>
      <w:numFmt w:val="decimal"/>
      <w:isLgl/>
      <w:suff w:val="nothing"/>
      <w:lvlText w:val="%1.%2.%3.%4.%5.%6、"/>
      <w:lvlJc w:val="left"/>
      <w:pPr>
        <w:ind w:left="1134" w:hanging="1134"/>
      </w:pPr>
      <w:rPr>
        <w:rFonts w:hint="eastAsia" w:ascii="Times New Roman" w:hAnsi="Times New Roman" w:cs="Cambria"/>
      </w:rPr>
    </w:lvl>
    <w:lvl w:ilvl="6" w:tentative="0">
      <w:start w:val="1"/>
      <w:numFmt w:val="decimal"/>
      <w:isLgl/>
      <w:lvlText w:val="%1.%2.%3.%4.%5.%6.%7"/>
      <w:lvlJc w:val="left"/>
      <w:pPr>
        <w:tabs>
          <w:tab w:val="left" w:pos="1800"/>
        </w:tabs>
        <w:ind w:left="1276" w:hanging="1276"/>
      </w:pPr>
      <w:rPr>
        <w:rFonts w:hint="eastAsia"/>
      </w:rPr>
    </w:lvl>
    <w:lvl w:ilvl="7" w:tentative="0">
      <w:start w:val="1"/>
      <w:numFmt w:val="decimal"/>
      <w:isLgl/>
      <w:lvlText w:val="%1.%2.%3.%4.%5.%6.%7.%8"/>
      <w:lvlJc w:val="left"/>
      <w:pPr>
        <w:tabs>
          <w:tab w:val="left" w:pos="1800"/>
        </w:tabs>
        <w:ind w:left="1418" w:hanging="1418"/>
      </w:pPr>
      <w:rPr>
        <w:rFonts w:hint="eastAsia"/>
      </w:rPr>
    </w:lvl>
    <w:lvl w:ilvl="8" w:tentative="0">
      <w:start w:val="1"/>
      <w:numFmt w:val="decimal"/>
      <w:isLgl/>
      <w:lvlText w:val="%1.%2.%3.%4.%5.%6.%7.%8.%9"/>
      <w:lvlJc w:val="left"/>
      <w:pPr>
        <w:tabs>
          <w:tab w:val="left" w:pos="2160"/>
        </w:tabs>
        <w:ind w:left="1559" w:hanging="1559"/>
      </w:pPr>
      <w:rPr>
        <w:rFonts w:hint="eastAsia"/>
      </w:rPr>
    </w:lvl>
  </w:abstractNum>
  <w:abstractNum w:abstractNumId="5">
    <w:nsid w:val="1C839625"/>
    <w:multiLevelType w:val="singleLevel"/>
    <w:tmpl w:val="1C839625"/>
    <w:lvl w:ilvl="0" w:tentative="0">
      <w:start w:val="4"/>
      <w:numFmt w:val="decimal"/>
      <w:suff w:val="nothing"/>
      <w:lvlText w:val="%1、"/>
      <w:lvlJc w:val="left"/>
    </w:lvl>
  </w:abstractNum>
  <w:abstractNum w:abstractNumId="6">
    <w:nsid w:val="2EC4E9FC"/>
    <w:multiLevelType w:val="singleLevel"/>
    <w:tmpl w:val="2EC4E9FC"/>
    <w:lvl w:ilvl="0" w:tentative="0">
      <w:start w:val="1"/>
      <w:numFmt w:val="decimal"/>
      <w:suff w:val="nothing"/>
      <w:lvlText w:val="%1、"/>
      <w:lvlJc w:val="left"/>
    </w:lvl>
  </w:abstractNum>
  <w:abstractNum w:abstractNumId="7">
    <w:nsid w:val="41C9A778"/>
    <w:multiLevelType w:val="singleLevel"/>
    <w:tmpl w:val="41C9A778"/>
    <w:lvl w:ilvl="0" w:tentative="0">
      <w:start w:val="2"/>
      <w:numFmt w:val="decimal"/>
      <w:suff w:val="nothing"/>
      <w:lvlText w:val="%1、"/>
      <w:lvlJc w:val="left"/>
    </w:lvl>
  </w:abstractNum>
  <w:num w:numId="1">
    <w:abstractNumId w:val="4"/>
  </w:num>
  <w:num w:numId="2">
    <w:abstractNumId w:val="6"/>
  </w:num>
  <w:num w:numId="3">
    <w:abstractNumId w:val="3"/>
  </w:num>
  <w:num w:numId="4">
    <w:abstractNumId w:val="2"/>
  </w:num>
  <w:num w:numId="5">
    <w:abstractNumId w:val="7"/>
  </w:num>
  <w:num w:numId="6">
    <w:abstractNumId w:val="5"/>
  </w:num>
  <w:num w:numId="7">
    <w:abstractNumId w:val="0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VmYjM3MTUxMjE3NWU0YWY2YTJiODAwNjc5ZmNhMGQifQ=="/>
  </w:docVars>
  <w:rsids>
    <w:rsidRoot w:val="007B03F1"/>
    <w:rsid w:val="00000DE0"/>
    <w:rsid w:val="000059B5"/>
    <w:rsid w:val="00102615"/>
    <w:rsid w:val="00133422"/>
    <w:rsid w:val="0029126C"/>
    <w:rsid w:val="00375780"/>
    <w:rsid w:val="005B30DB"/>
    <w:rsid w:val="006C18A9"/>
    <w:rsid w:val="007B03F1"/>
    <w:rsid w:val="00866065"/>
    <w:rsid w:val="00E47868"/>
    <w:rsid w:val="00EB4172"/>
    <w:rsid w:val="04561F88"/>
    <w:rsid w:val="049F343C"/>
    <w:rsid w:val="0530042D"/>
    <w:rsid w:val="05A60145"/>
    <w:rsid w:val="05DD6106"/>
    <w:rsid w:val="07AB0349"/>
    <w:rsid w:val="082A5E27"/>
    <w:rsid w:val="084763B4"/>
    <w:rsid w:val="0949606C"/>
    <w:rsid w:val="0B6D48D3"/>
    <w:rsid w:val="0C2D1EAF"/>
    <w:rsid w:val="0CB318D7"/>
    <w:rsid w:val="0D083A90"/>
    <w:rsid w:val="0D814996"/>
    <w:rsid w:val="0E1404BE"/>
    <w:rsid w:val="0EC514D3"/>
    <w:rsid w:val="0F124079"/>
    <w:rsid w:val="115C02B3"/>
    <w:rsid w:val="11B433FC"/>
    <w:rsid w:val="11B87CB6"/>
    <w:rsid w:val="143918B6"/>
    <w:rsid w:val="18E1730B"/>
    <w:rsid w:val="1A860301"/>
    <w:rsid w:val="1E3470DA"/>
    <w:rsid w:val="1F0120F6"/>
    <w:rsid w:val="1F06687C"/>
    <w:rsid w:val="1FCF3ABE"/>
    <w:rsid w:val="22801457"/>
    <w:rsid w:val="23BF0FAD"/>
    <w:rsid w:val="24736D00"/>
    <w:rsid w:val="24FA2E14"/>
    <w:rsid w:val="268838D8"/>
    <w:rsid w:val="27BF41F2"/>
    <w:rsid w:val="2805687D"/>
    <w:rsid w:val="29177410"/>
    <w:rsid w:val="2A962D4A"/>
    <w:rsid w:val="2B442AEB"/>
    <w:rsid w:val="2BCE4483"/>
    <w:rsid w:val="2C0160A5"/>
    <w:rsid w:val="2C35005E"/>
    <w:rsid w:val="2FA86065"/>
    <w:rsid w:val="315F7F96"/>
    <w:rsid w:val="31680DA6"/>
    <w:rsid w:val="31807FCD"/>
    <w:rsid w:val="33093EB2"/>
    <w:rsid w:val="33391983"/>
    <w:rsid w:val="335404EF"/>
    <w:rsid w:val="343A29F4"/>
    <w:rsid w:val="344D6161"/>
    <w:rsid w:val="357134CA"/>
    <w:rsid w:val="367926B6"/>
    <w:rsid w:val="36BE752E"/>
    <w:rsid w:val="3A0509DE"/>
    <w:rsid w:val="3A225159"/>
    <w:rsid w:val="3A2A1EE3"/>
    <w:rsid w:val="3A355B46"/>
    <w:rsid w:val="3A5170CB"/>
    <w:rsid w:val="3C0417FB"/>
    <w:rsid w:val="3E7368FE"/>
    <w:rsid w:val="3F012022"/>
    <w:rsid w:val="41166258"/>
    <w:rsid w:val="413548B6"/>
    <w:rsid w:val="42443F34"/>
    <w:rsid w:val="42CF2ADA"/>
    <w:rsid w:val="430A1E0F"/>
    <w:rsid w:val="44191BBB"/>
    <w:rsid w:val="453018B3"/>
    <w:rsid w:val="45880741"/>
    <w:rsid w:val="45CA3F25"/>
    <w:rsid w:val="45EC57D9"/>
    <w:rsid w:val="472F3E40"/>
    <w:rsid w:val="49754339"/>
    <w:rsid w:val="49CB372B"/>
    <w:rsid w:val="4C8C5620"/>
    <w:rsid w:val="4FAD7D83"/>
    <w:rsid w:val="510672E4"/>
    <w:rsid w:val="515159EC"/>
    <w:rsid w:val="55172D83"/>
    <w:rsid w:val="55CC1F15"/>
    <w:rsid w:val="56DE0AFD"/>
    <w:rsid w:val="57692EE1"/>
    <w:rsid w:val="57923BF9"/>
    <w:rsid w:val="59CC11A4"/>
    <w:rsid w:val="5A963A3B"/>
    <w:rsid w:val="5AB140D9"/>
    <w:rsid w:val="5B1F58B2"/>
    <w:rsid w:val="5CEB6393"/>
    <w:rsid w:val="5D6D40C4"/>
    <w:rsid w:val="5DD67D6A"/>
    <w:rsid w:val="623404AF"/>
    <w:rsid w:val="62571DD5"/>
    <w:rsid w:val="62650996"/>
    <w:rsid w:val="641F13B8"/>
    <w:rsid w:val="64A370BD"/>
    <w:rsid w:val="65071E90"/>
    <w:rsid w:val="66534E24"/>
    <w:rsid w:val="6656323B"/>
    <w:rsid w:val="66D9118B"/>
    <w:rsid w:val="67D56729"/>
    <w:rsid w:val="67D810B7"/>
    <w:rsid w:val="691A4468"/>
    <w:rsid w:val="6A455D2E"/>
    <w:rsid w:val="6A4E4D4C"/>
    <w:rsid w:val="6EC91F38"/>
    <w:rsid w:val="6FA117E5"/>
    <w:rsid w:val="6FB75A30"/>
    <w:rsid w:val="711E3D29"/>
    <w:rsid w:val="722C7B8B"/>
    <w:rsid w:val="72FF1B67"/>
    <w:rsid w:val="73D633B1"/>
    <w:rsid w:val="74837BCC"/>
    <w:rsid w:val="74F160B9"/>
    <w:rsid w:val="75D533AD"/>
    <w:rsid w:val="77AB4FC1"/>
    <w:rsid w:val="78BA297D"/>
    <w:rsid w:val="79513C6B"/>
    <w:rsid w:val="79AF49E9"/>
    <w:rsid w:val="7AE244DA"/>
    <w:rsid w:val="7B8122BF"/>
    <w:rsid w:val="7B8B0ECF"/>
    <w:rsid w:val="7D186F3E"/>
    <w:rsid w:val="7E2C05FD"/>
    <w:rsid w:val="7E8D29AE"/>
    <w:rsid w:val="7EBF0D4C"/>
    <w:rsid w:val="7FA71D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9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name="toc 1"/>
    <w:lsdException w:qFormat="1"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3">
    <w:name w:val="heading 1"/>
    <w:basedOn w:val="1"/>
    <w:next w:val="1"/>
    <w:qFormat/>
    <w:uiPriority w:val="9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4">
    <w:name w:val="heading 2"/>
    <w:basedOn w:val="1"/>
    <w:next w:val="1"/>
    <w:qFormat/>
    <w:uiPriority w:val="99"/>
    <w:pPr>
      <w:keepNext/>
      <w:keepLines/>
      <w:numPr>
        <w:ilvl w:val="1"/>
        <w:numId w:val="1"/>
      </w:numPr>
      <w:spacing w:before="120" w:after="120"/>
      <w:ind w:left="0" w:firstLine="0" w:firstLineChars="0"/>
      <w:jc w:val="both"/>
      <w:outlineLvl w:val="1"/>
    </w:pPr>
    <w:rPr>
      <w:b/>
      <w:bCs/>
      <w:sz w:val="30"/>
      <w:szCs w:val="30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样式 首行缩进:  2 字符"/>
    <w:basedOn w:val="1"/>
    <w:qFormat/>
    <w:uiPriority w:val="0"/>
    <w:pPr>
      <w:ind w:firstLine="480" w:firstLineChars="200"/>
    </w:pPr>
    <w:rPr>
      <w:rFonts w:ascii="Calibri" w:hAnsi="Calibri" w:cs="宋体"/>
      <w:color w:val="000000"/>
      <w:szCs w:val="20"/>
    </w:rPr>
  </w:style>
  <w:style w:type="paragraph" w:styleId="5">
    <w:name w:val="Balloon Text"/>
    <w:basedOn w:val="1"/>
    <w:link w:val="11"/>
    <w:semiHidden/>
    <w:unhideWhenUsed/>
    <w:qFormat/>
    <w:uiPriority w:val="99"/>
    <w:rPr>
      <w:sz w:val="18"/>
      <w:szCs w:val="18"/>
    </w:rPr>
  </w:style>
  <w:style w:type="paragraph" w:styleId="6">
    <w:name w:val="toc 1"/>
    <w:basedOn w:val="1"/>
    <w:next w:val="1"/>
    <w:semiHidden/>
    <w:unhideWhenUsed/>
    <w:qFormat/>
    <w:uiPriority w:val="39"/>
  </w:style>
  <w:style w:type="paragraph" w:styleId="7">
    <w:name w:val="toc 2"/>
    <w:basedOn w:val="1"/>
    <w:next w:val="1"/>
    <w:semiHidden/>
    <w:unhideWhenUsed/>
    <w:qFormat/>
    <w:uiPriority w:val="39"/>
    <w:pPr>
      <w:ind w:left="420" w:leftChars="200"/>
    </w:pPr>
  </w:style>
  <w:style w:type="character" w:styleId="10">
    <w:name w:val="Hyperlink"/>
    <w:basedOn w:val="9"/>
    <w:semiHidden/>
    <w:unhideWhenUsed/>
    <w:qFormat/>
    <w:uiPriority w:val="99"/>
    <w:rPr>
      <w:color w:val="0000FF"/>
      <w:u w:val="single"/>
    </w:rPr>
  </w:style>
  <w:style w:type="character" w:customStyle="1" w:styleId="11">
    <w:name w:val="批注框文本 Char"/>
    <w:basedOn w:val="9"/>
    <w:link w:val="5"/>
    <w:semiHidden/>
    <w:qFormat/>
    <w:uiPriority w:val="99"/>
    <w:rPr>
      <w:sz w:val="18"/>
      <w:szCs w:val="18"/>
    </w:rPr>
  </w:style>
  <w:style w:type="paragraph" w:customStyle="1" w:styleId="12">
    <w:name w:val="WPSOffice手动目录 1"/>
    <w:qFormat/>
    <w:uiPriority w:val="0"/>
    <w:pPr>
      <w:ind w:leftChars="0"/>
    </w:pPr>
    <w:rPr>
      <w:rFonts w:asciiTheme="minorHAnsi" w:hAnsiTheme="minorHAnsi" w:eastAsiaTheme="minorEastAsia" w:cstheme="minorBidi"/>
      <w:sz w:val="20"/>
      <w:szCs w:val="20"/>
    </w:rPr>
  </w:style>
  <w:style w:type="paragraph" w:customStyle="1" w:styleId="13">
    <w:name w:val="WPSOffice手动目录 2"/>
    <w:qFormat/>
    <w:uiPriority w:val="0"/>
    <w:pPr>
      <w:ind w:leftChars="200"/>
    </w:pPr>
    <w:rPr>
      <w:rFonts w:asciiTheme="minorHAnsi" w:hAnsiTheme="minorHAnsi" w:eastAsiaTheme="minorEastAsia" w:cstheme="minorBidi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微软公司</Company>
  <Pages>10</Pages>
  <Words>973</Words>
  <Characters>991</Characters>
  <Lines>1</Lines>
  <Paragraphs>1</Paragraphs>
  <TotalTime>4</TotalTime>
  <ScaleCrop>false</ScaleCrop>
  <LinksUpToDate>false</LinksUpToDate>
  <CharactersWithSpaces>1019</CharactersWithSpaces>
  <Application>WPS Office_11.1.0.12980_F1E327BC-269C-435d-A152-05C5408002CA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2022-08-23T10:11:00Z</dcterms:created>
  <dc:creator>微软用户</dc:creator>
  <cp:lastModifiedBy>可可西里</cp:lastModifiedBy>
  <dcterms:modified xsi:type="dcterms:W3CDTF">2023-02-28T04:35:12Z</dcterms:modified>
  <cp:revision>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2052-11.1.0.12980</vt:lpwstr>
  </property>
  <property fmtid="{D5CDD505-2E9C-101B-9397-08002B2CF9AE}" pid="3" name="ICV">
    <vt:lpwstr>94A6A91BE21141D5B22687E9C0DCD496</vt:lpwstr>
  </property>
</Properties>
</file>